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760" w:before="240" w:line="360" w:lineRule="auto"/>
        <w:jc w:val="center"/>
        <w:rPr>
          <w:b w:val="1"/>
          <w:sz w:val="24"/>
          <w:szCs w:val="24"/>
        </w:rPr>
      </w:pPr>
      <w:r w:rsidDel="00000000" w:rsidR="00000000" w:rsidRPr="00000000">
        <w:rPr>
          <w:b w:val="1"/>
          <w:sz w:val="24"/>
          <w:szCs w:val="24"/>
          <w:rtl w:val="0"/>
        </w:rPr>
        <w:t xml:space="preserve">МИНИСТЕРСТВО ФИНАНСОВ РОССИЙСКОЙ ФЕДЕРАЦИИ</w:t>
      </w:r>
    </w:p>
    <w:p w:rsidR="00000000" w:rsidDel="00000000" w:rsidP="00000000" w:rsidRDefault="00000000" w:rsidRPr="00000000" w14:paraId="00000002">
      <w:pPr>
        <w:shd w:fill="ffffff" w:val="clear"/>
        <w:spacing w:after="760" w:before="240" w:line="360" w:lineRule="auto"/>
        <w:jc w:val="center"/>
        <w:rPr>
          <w:b w:val="1"/>
          <w:sz w:val="24"/>
          <w:szCs w:val="24"/>
        </w:rPr>
      </w:pPr>
      <w:r w:rsidDel="00000000" w:rsidR="00000000" w:rsidRPr="00000000">
        <w:rPr>
          <w:b w:val="1"/>
          <w:sz w:val="24"/>
          <w:szCs w:val="24"/>
          <w:rtl w:val="0"/>
        </w:rPr>
        <w:t xml:space="preserve">ПИСЬМО</w:t>
      </w:r>
    </w:p>
    <w:p w:rsidR="00000000" w:rsidDel="00000000" w:rsidP="00000000" w:rsidRDefault="00000000" w:rsidRPr="00000000" w14:paraId="00000003">
      <w:pPr>
        <w:shd w:fill="ffffff" w:val="clear"/>
        <w:spacing w:after="760" w:before="240" w:line="360" w:lineRule="auto"/>
        <w:jc w:val="center"/>
        <w:rPr>
          <w:b w:val="1"/>
          <w:sz w:val="24"/>
          <w:szCs w:val="24"/>
        </w:rPr>
      </w:pPr>
      <w:r w:rsidDel="00000000" w:rsidR="00000000" w:rsidRPr="00000000">
        <w:rPr>
          <w:b w:val="1"/>
          <w:sz w:val="24"/>
          <w:szCs w:val="24"/>
          <w:rtl w:val="0"/>
        </w:rPr>
        <w:t xml:space="preserve">от 3 мая 2018 г. N 03-15-05/29955</w:t>
      </w:r>
    </w:p>
    <w:p w:rsidR="00000000" w:rsidDel="00000000" w:rsidP="00000000" w:rsidRDefault="00000000" w:rsidRPr="00000000" w14:paraId="00000004">
      <w:pPr>
        <w:shd w:fill="ffffff" w:val="clear"/>
        <w:spacing w:after="760" w:before="240" w:line="240" w:lineRule="auto"/>
        <w:jc w:val="both"/>
        <w:rPr>
          <w:sz w:val="24"/>
          <w:szCs w:val="24"/>
        </w:rPr>
      </w:pPr>
      <w:r w:rsidDel="00000000" w:rsidR="00000000" w:rsidRPr="00000000">
        <w:rPr>
          <w:sz w:val="24"/>
          <w:szCs w:val="24"/>
          <w:rtl w:val="0"/>
        </w:rPr>
        <w:t xml:space="preserve">Департамент налоговой и таможенной политики рассмотрел обращение по вопросу определения базы для исчисления страховых взносов на обязательное пенсионное страхование индивидуальными предпринимателями, применяющими упрощенную систему налогообложения (далее - УСН), и сообщает следующее.</w:t>
      </w:r>
    </w:p>
    <w:p w:rsidR="00000000" w:rsidDel="00000000" w:rsidP="00000000" w:rsidRDefault="00000000" w:rsidRPr="00000000" w14:paraId="00000005">
      <w:pPr>
        <w:shd w:fill="ffffff" w:val="clear"/>
        <w:spacing w:after="760" w:before="240" w:line="240" w:lineRule="auto"/>
        <w:jc w:val="both"/>
        <w:rPr>
          <w:sz w:val="24"/>
          <w:szCs w:val="24"/>
        </w:rPr>
      </w:pPr>
      <w:r w:rsidDel="00000000" w:rsidR="00000000" w:rsidRPr="00000000">
        <w:rPr>
          <w:sz w:val="24"/>
          <w:szCs w:val="24"/>
          <w:rtl w:val="0"/>
        </w:rPr>
        <w:t xml:space="preserve">Согласно пункту 1 статьи 419 Налогового кодекса Российской Федерации (далее - Налоговый кодекс) индивидуальные предприниматели являются плательщиками страховых взносов.</w:t>
      </w:r>
    </w:p>
    <w:p w:rsidR="00000000" w:rsidDel="00000000" w:rsidP="00000000" w:rsidRDefault="00000000" w:rsidRPr="00000000" w14:paraId="00000006">
      <w:pPr>
        <w:shd w:fill="ffffff" w:val="clear"/>
        <w:spacing w:after="760" w:before="240" w:line="240" w:lineRule="auto"/>
        <w:jc w:val="both"/>
        <w:rPr>
          <w:sz w:val="24"/>
          <w:szCs w:val="24"/>
        </w:rPr>
      </w:pPr>
      <w:r w:rsidDel="00000000" w:rsidR="00000000" w:rsidRPr="00000000">
        <w:rPr>
          <w:sz w:val="24"/>
          <w:szCs w:val="24"/>
          <w:rtl w:val="0"/>
        </w:rPr>
        <w:t xml:space="preserve">Положениями подпункта 1 пункта 1 статьи 430 Налогового кодекса установлен дифференцированный подход к определению размера страховых взносов на обязательное пенсионное страхование за себя для индивидуальных предпринимателей исходя из их дохода, который заключается в следующем:</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1400" w:hanging="360"/>
        <w:jc w:val="both"/>
      </w:pPr>
      <w:r w:rsidDel="00000000" w:rsidR="00000000" w:rsidRPr="00000000">
        <w:rPr>
          <w:sz w:val="24"/>
          <w:szCs w:val="24"/>
          <w:rtl w:val="0"/>
        </w:rPr>
        <w:t xml:space="preserve">в случае если величина дохода индивидуального предпринимателя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pacing w:after="1380" w:line="240" w:lineRule="auto"/>
        <w:ind w:left="1400" w:hanging="360"/>
        <w:jc w:val="both"/>
      </w:pPr>
      <w:r w:rsidDel="00000000" w:rsidR="00000000" w:rsidRPr="00000000">
        <w:rPr>
          <w:sz w:val="24"/>
          <w:szCs w:val="24"/>
          <w:rtl w:val="0"/>
        </w:rPr>
        <w:t xml:space="preserve">в случае если величина дохода индивидуального предпринимателя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суммы дохода индивидуального предпринимателя, превышающего 300 000 рублей за расчетный период.</w:t>
      </w:r>
    </w:p>
    <w:p w:rsidR="00000000" w:rsidDel="00000000" w:rsidP="00000000" w:rsidRDefault="00000000" w:rsidRPr="00000000" w14:paraId="00000009">
      <w:pPr>
        <w:shd w:fill="ffffff" w:val="clear"/>
        <w:spacing w:after="760" w:before="240" w:line="240" w:lineRule="auto"/>
        <w:jc w:val="both"/>
        <w:rPr>
          <w:sz w:val="24"/>
          <w:szCs w:val="24"/>
        </w:rPr>
      </w:pPr>
      <w:r w:rsidDel="00000000" w:rsidR="00000000" w:rsidRPr="00000000">
        <w:rPr>
          <w:sz w:val="24"/>
          <w:szCs w:val="24"/>
          <w:rtl w:val="0"/>
        </w:rPr>
        <w:t xml:space="preserve">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 установленного абзацем вторым подпункта 1 пункта 1 статьи 430 Налогового кодекса.</w:t>
      </w:r>
    </w:p>
    <w:p w:rsidR="00000000" w:rsidDel="00000000" w:rsidP="00000000" w:rsidRDefault="00000000" w:rsidRPr="00000000" w14:paraId="0000000A">
      <w:pPr>
        <w:shd w:fill="ffffff" w:val="clear"/>
        <w:spacing w:after="760" w:before="240" w:line="240" w:lineRule="auto"/>
        <w:jc w:val="both"/>
        <w:rPr>
          <w:sz w:val="24"/>
          <w:szCs w:val="24"/>
        </w:rPr>
      </w:pPr>
      <w:r w:rsidDel="00000000" w:rsidR="00000000" w:rsidRPr="00000000">
        <w:rPr>
          <w:sz w:val="24"/>
          <w:szCs w:val="24"/>
          <w:rtl w:val="0"/>
        </w:rPr>
        <w:t xml:space="preserve">Учитывая изложенное, если доход индивидуального предпринимателя в расчетном периоде превышает 300 000 руб., то такой индивидуальный предприниматель, помимо фиксированного размера страховых взносов, доплачивает на свое пенсионное страхование 1,0 процента с суммы дохода, превышающего 300 000 руб., но до определенной предельной величины.</w:t>
      </w:r>
    </w:p>
    <w:p w:rsidR="00000000" w:rsidDel="00000000" w:rsidP="00000000" w:rsidRDefault="00000000" w:rsidRPr="00000000" w14:paraId="0000000B">
      <w:pPr>
        <w:shd w:fill="ffffff" w:val="clear"/>
        <w:spacing w:after="760" w:before="240" w:line="240" w:lineRule="auto"/>
        <w:jc w:val="both"/>
        <w:rPr>
          <w:sz w:val="24"/>
          <w:szCs w:val="24"/>
        </w:rPr>
      </w:pPr>
      <w:r w:rsidDel="00000000" w:rsidR="00000000" w:rsidRPr="00000000">
        <w:rPr>
          <w:sz w:val="24"/>
          <w:szCs w:val="24"/>
          <w:rtl w:val="0"/>
        </w:rPr>
        <w:t xml:space="preserve">При этом согласно подпункту 3 пункта 9 статьи 430 Налогового кодекса в целях применения положений пункта 1 данной статьи для плательщиков, применяющих УСН, доход учитывается в соответствии со статьей 346.15Налогового кодекса.</w:t>
      </w:r>
    </w:p>
    <w:p w:rsidR="00000000" w:rsidDel="00000000" w:rsidP="00000000" w:rsidRDefault="00000000" w:rsidRPr="00000000" w14:paraId="0000000C">
      <w:pPr>
        <w:shd w:fill="ffffff" w:val="clear"/>
        <w:spacing w:after="760" w:before="240" w:line="240" w:lineRule="auto"/>
        <w:jc w:val="both"/>
        <w:rPr>
          <w:sz w:val="24"/>
          <w:szCs w:val="24"/>
        </w:rPr>
      </w:pPr>
      <w:r w:rsidDel="00000000" w:rsidR="00000000" w:rsidRPr="00000000">
        <w:rPr>
          <w:sz w:val="24"/>
          <w:szCs w:val="24"/>
          <w:rtl w:val="0"/>
        </w:rPr>
        <w:t xml:space="preserve">Исходя из положений статьи 346.15 Налогового кодекса индивидуальные предприниматели, применяющие УСН, при определении доходов учитывают доходы, упомянутые в пунктах 1 и 2 статьи 248 Налогового кодекса.</w:t>
      </w:r>
    </w:p>
    <w:p w:rsidR="00000000" w:rsidDel="00000000" w:rsidP="00000000" w:rsidRDefault="00000000" w:rsidRPr="00000000" w14:paraId="0000000D">
      <w:pPr>
        <w:shd w:fill="ffffff" w:val="clear"/>
        <w:spacing w:after="760" w:before="240" w:line="240" w:lineRule="auto"/>
        <w:jc w:val="both"/>
        <w:rPr>
          <w:sz w:val="24"/>
          <w:szCs w:val="24"/>
        </w:rPr>
      </w:pPr>
      <w:r w:rsidDel="00000000" w:rsidR="00000000" w:rsidRPr="00000000">
        <w:rPr>
          <w:sz w:val="24"/>
          <w:szCs w:val="24"/>
          <w:rtl w:val="0"/>
        </w:rPr>
        <w:t xml:space="preserve">Таким образом, в целях определения размера страхового взноса по обязательному пенсионному страхованию за соответствующий расчетный период для индивидуальных предпринимателей на УСН, как производящих, так и не производящих выплаты и иные вознаграждения физическим лицам, величиной дохода является сумма фактически полученного ими дохода от осуществления предпринимательской деятельности за этот расчетный период. Расходы, предусмотренные статьей 346.16 Налогового кодекса, в этом случае не учитываются.</w:t>
      </w:r>
    </w:p>
    <w:p w:rsidR="00000000" w:rsidDel="00000000" w:rsidP="00000000" w:rsidRDefault="00000000" w:rsidRPr="00000000" w14:paraId="0000000E">
      <w:pPr>
        <w:shd w:fill="ffffff" w:val="clear"/>
        <w:spacing w:after="760" w:before="240" w:line="240" w:lineRule="auto"/>
        <w:jc w:val="both"/>
        <w:rPr>
          <w:sz w:val="24"/>
          <w:szCs w:val="24"/>
        </w:rPr>
      </w:pPr>
      <w:r w:rsidDel="00000000" w:rsidR="00000000" w:rsidRPr="00000000">
        <w:rPr>
          <w:sz w:val="24"/>
          <w:szCs w:val="24"/>
          <w:rtl w:val="0"/>
        </w:rPr>
        <w:t xml:space="preserve">Необходимо отметить, что положения подпункта 1 пункта 1 статьи 430 Налогового кодекса об определении размера страховых взносов на обязательное пенсионное страхование для индивидуального предпринимателя исходя из его дохода не увязываются с определением таким индивидуальным предпринимателем его налоговой базы при уплате соответствующего налога в зависимости от применяемого специального налогового режима (система налогообложения в виде единого налога на вмененный доход для отдельных видов деятельности, упрощенная система налогообложения, патентная система налогообложения и т.д.).</w:t>
      </w:r>
    </w:p>
    <w:p w:rsidR="00000000" w:rsidDel="00000000" w:rsidP="00000000" w:rsidRDefault="00000000" w:rsidRPr="00000000" w14:paraId="0000000F">
      <w:pPr>
        <w:shd w:fill="ffffff" w:val="clear"/>
        <w:spacing w:after="760" w:before="240" w:line="240" w:lineRule="auto"/>
        <w:jc w:val="both"/>
        <w:rPr>
          <w:sz w:val="24"/>
          <w:szCs w:val="24"/>
        </w:rPr>
      </w:pPr>
      <w:r w:rsidDel="00000000" w:rsidR="00000000" w:rsidRPr="00000000">
        <w:rPr>
          <w:sz w:val="24"/>
          <w:szCs w:val="24"/>
          <w:rtl w:val="0"/>
        </w:rPr>
        <w:t xml:space="preserve">С учетом вышеизложенного и принимая во внимание то, что не все индивидуальные предприниматели ведут учет расходов. формирование пенсионных прав не должно увязываться с конечным результатом предпринимательской деятельности индивидуальных предпринимателей за тот или иной конкретный (налоговый) период (прибыль, убыток).</w:t>
      </w:r>
    </w:p>
    <w:p w:rsidR="00000000" w:rsidDel="00000000" w:rsidP="00000000" w:rsidRDefault="00000000" w:rsidRPr="00000000" w14:paraId="00000010">
      <w:pPr>
        <w:shd w:fill="ffffff" w:val="clear"/>
        <w:spacing w:after="760" w:before="240" w:line="240" w:lineRule="auto"/>
        <w:jc w:val="both"/>
        <w:rPr>
          <w:sz w:val="24"/>
          <w:szCs w:val="24"/>
        </w:rPr>
      </w:pPr>
      <w:r w:rsidDel="00000000" w:rsidR="00000000" w:rsidRPr="00000000">
        <w:rPr>
          <w:sz w:val="24"/>
          <w:szCs w:val="24"/>
          <w:rtl w:val="0"/>
        </w:rPr>
        <w:t xml:space="preserve">Налоговым кодексом вычет сумм расходов при определении размера страховых взносов на обязательное пенсионное страхование за соответствующий расчетный период предусмотрен только в отношении тех индивидуальных предпринимателей, которые уплачивают налог на доходы физических лиц (далее - НДФЛ). Норм, распространяющих данный подход на иных плательщиков на других налоговых режимах, Налоговый кодекс не содержит.</w:t>
      </w:r>
    </w:p>
    <w:p w:rsidR="00000000" w:rsidDel="00000000" w:rsidP="00000000" w:rsidRDefault="00000000" w:rsidRPr="00000000" w14:paraId="00000011">
      <w:pPr>
        <w:shd w:fill="ffffff" w:val="clear"/>
        <w:spacing w:after="760" w:before="240" w:line="240" w:lineRule="auto"/>
        <w:jc w:val="both"/>
        <w:rPr>
          <w:sz w:val="24"/>
          <w:szCs w:val="24"/>
        </w:rPr>
      </w:pPr>
      <w:r w:rsidDel="00000000" w:rsidR="00000000" w:rsidRPr="00000000">
        <w:rPr>
          <w:sz w:val="24"/>
          <w:szCs w:val="24"/>
          <w:rtl w:val="0"/>
        </w:rPr>
        <w:t xml:space="preserve">Что касается постановления Конституционного Суда Российской Федерации от 30.11.2016 N 27-П, в котором Конституционный Суд Российской Федерации признал, что для определения размера страховых взносов на обязательное пенсионное страхование, подлежащих уплате индивидуальным предпринимателем, уплачивающим НДФЛ, его доход подлежит уменьшению на величину фактически произведенных им и документально подтвержденных расходов, непосредственно связанных с извлечением дохода, то данное постановление касается только плательщиков страховых взносов - индивидуальных предпринимателей, уплачивающих НДФЛ, что, соответственно, нашло отражение в подпункте 1 пункта 9 статьи 430 Налогового кодекса об определении величины дохода для целей уплаты страховых взносов индивидуальных предпринимателей, уплачивающих НДФЛ.</w:t>
      </w:r>
    </w:p>
    <w:p w:rsidR="00000000" w:rsidDel="00000000" w:rsidP="00000000" w:rsidRDefault="00000000" w:rsidRPr="00000000" w14:paraId="00000012">
      <w:pPr>
        <w:shd w:fill="ffffff" w:val="clear"/>
        <w:spacing w:after="760" w:before="240" w:line="240" w:lineRule="auto"/>
        <w:jc w:val="both"/>
        <w:rPr>
          <w:sz w:val="24"/>
          <w:szCs w:val="24"/>
        </w:rPr>
      </w:pPr>
      <w:r w:rsidDel="00000000" w:rsidR="00000000" w:rsidRPr="00000000">
        <w:rPr>
          <w:sz w:val="24"/>
          <w:szCs w:val="24"/>
          <w:rtl w:val="0"/>
        </w:rPr>
        <w:t xml:space="preserve">Следовательно, порядки определения доходов в целях уплаты страховых взносов индивидуальным предпринимателем, применяющим УСН, и индивидуальным предпринимателем, уплачивающим НДФЛ, не тождественны, так как Налоговый кодекс прямо указывает индивидуальному предпринимателю, применяющему УСН, на необходимость определения доходов только в соответствии со статьей 346.15 Налогового кодекса.</w:t>
      </w:r>
    </w:p>
    <w:p w:rsidR="00000000" w:rsidDel="00000000" w:rsidP="00000000" w:rsidRDefault="00000000" w:rsidRPr="00000000" w14:paraId="00000013">
      <w:pPr>
        <w:shd w:fill="ffffff" w:val="clear"/>
        <w:spacing w:after="760" w:before="240" w:line="240" w:lineRule="auto"/>
        <w:jc w:val="both"/>
        <w:rPr>
          <w:sz w:val="24"/>
          <w:szCs w:val="24"/>
        </w:rPr>
      </w:pPr>
      <w:r w:rsidDel="00000000" w:rsidR="00000000" w:rsidRPr="00000000">
        <w:rPr>
          <w:sz w:val="24"/>
          <w:szCs w:val="24"/>
          <w:rtl w:val="0"/>
        </w:rPr>
        <w:t xml:space="preserve">Таким образом, указанное в обращении письмо Минфина России от 12.02.2018 N 03-15-07/8369 не вступает в противоречие с постановлением Конституционного Суда Российской Федерации от 30.11.2016 N 27-П, поскольку основано исключительно на положениях Налогового кодекса, не рассмотренных в постановлении Конституционного Суда Российской Федерации.</w:t>
      </w:r>
    </w:p>
    <w:p w:rsidR="00000000" w:rsidDel="00000000" w:rsidP="00000000" w:rsidRDefault="00000000" w:rsidRPr="00000000" w14:paraId="00000014">
      <w:pPr>
        <w:shd w:fill="ffffff" w:val="clear"/>
        <w:spacing w:after="760" w:before="240" w:line="240" w:lineRule="auto"/>
        <w:jc w:val="both"/>
        <w:rPr>
          <w:sz w:val="24"/>
          <w:szCs w:val="24"/>
        </w:rPr>
      </w:pPr>
      <w:r w:rsidDel="00000000" w:rsidR="00000000" w:rsidRPr="00000000">
        <w:rPr>
          <w:sz w:val="24"/>
          <w:szCs w:val="24"/>
          <w:rtl w:val="0"/>
        </w:rPr>
        <w:t xml:space="preserve">Кроме того, необходимо отметить, что изложенные в определении Верховного Суда Российской Федерации от 18.04.2017 N 304-КГ16-16937 выводы о том, что принцип определения объекта налогообложения плательщиками НДФЛ аналогичен принципу определения объекта налогообложения для плательщиков, применяющих УСН с объектом налогообложения "доходы, уменьшенные на величину расходов", применимы в конкретном рассматриваемом судом случае, на что и указывает сам суд.</w:t>
      </w:r>
    </w:p>
    <w:p w:rsidR="00000000" w:rsidDel="00000000" w:rsidP="00000000" w:rsidRDefault="00000000" w:rsidRPr="00000000" w14:paraId="00000015">
      <w:pPr>
        <w:shd w:fill="ffffff" w:val="clear"/>
        <w:spacing w:after="760" w:before="240" w:line="240" w:lineRule="auto"/>
        <w:jc w:val="both"/>
        <w:rPr>
          <w:sz w:val="24"/>
          <w:szCs w:val="24"/>
        </w:rPr>
      </w:pPr>
      <w:r w:rsidDel="00000000" w:rsidR="00000000" w:rsidRPr="00000000">
        <w:rPr>
          <w:sz w:val="24"/>
          <w:szCs w:val="24"/>
          <w:rtl w:val="0"/>
        </w:rPr>
        <w:t xml:space="preserve">При этом упомянутое определение Верховного Суда Российской Федерации принято в отношении исчисления и уплаты страховых взносов в государственные внебюджетные фонды, которые регулировались Федеральным законом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действовавшим до 1 января 2017 года.</w:t>
      </w:r>
    </w:p>
    <w:p w:rsidR="00000000" w:rsidDel="00000000" w:rsidP="00000000" w:rsidRDefault="00000000" w:rsidRPr="00000000" w14:paraId="00000016">
      <w:pPr>
        <w:shd w:fill="ffffff" w:val="clear"/>
        <w:spacing w:after="760" w:before="240" w:line="240" w:lineRule="auto"/>
        <w:jc w:val="both"/>
        <w:rPr>
          <w:sz w:val="24"/>
          <w:szCs w:val="24"/>
        </w:rPr>
      </w:pPr>
      <w:r w:rsidDel="00000000" w:rsidR="00000000" w:rsidRPr="00000000">
        <w:rPr>
          <w:sz w:val="24"/>
          <w:szCs w:val="24"/>
          <w:rtl w:val="0"/>
        </w:rPr>
        <w:t xml:space="preserve">Заместитель директора Департамента Р.А. СААКЯН</w:t>
      </w:r>
    </w:p>
    <w:p w:rsidR="00000000" w:rsidDel="00000000" w:rsidP="00000000" w:rsidRDefault="00000000" w:rsidRPr="00000000" w14:paraId="00000017">
      <w:pPr>
        <w:shd w:fill="ffffff" w:val="clear"/>
        <w:spacing w:after="460" w:lineRule="auto"/>
        <w:rPr>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